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RM6240 </w:t>
    </w:r>
    <w:r w:rsidDel="00000000" w:rsidR="00000000" w:rsidRPr="00000000">
      <w:rPr>
        <w:rFonts w:ascii="Arial" w:cs="Arial" w:eastAsia="Arial" w:hAnsi="Arial"/>
        <w:sz w:val="20"/>
        <w:szCs w:val="20"/>
        <w:rtl w:val="0"/>
      </w:rPr>
      <w:t xml:space="preserve">Public Sector Legal Services Framework</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o+BHqXehT/RWmj7JgMXYadpi4g==">AMUW2mWzQHz79nws4+YPPvxJhtVbnREdGDjTO02puKh5vWwRbDYx5EfayiJ5g+YGO9r2zf/B/Z1xCjX0QRXITw3pywT2YOwTM/Q6s5AJ90znmEWA6MhewL7w05OVl5XLxHMTwCM6BJIZgECDzpTUPWcY6FDX9FvKTw==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